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8C" w:rsidRPr="001336CB" w:rsidRDefault="00B57376" w:rsidP="000F226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BE53" wp14:editId="09062429">
                <wp:simplePos x="0" y="0"/>
                <wp:positionH relativeFrom="column">
                  <wp:posOffset>5676900</wp:posOffset>
                </wp:positionH>
                <wp:positionV relativeFrom="paragraph">
                  <wp:posOffset>-342265</wp:posOffset>
                </wp:positionV>
                <wp:extent cx="14097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376" w:rsidRPr="00B57376" w:rsidRDefault="00B57376" w:rsidP="00B5737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7376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BE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pt;margin-top:-26.95pt;width:11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" filled="f" stroked="f">
                <v:fill o:detectmouseclick="t"/>
                <v:textbox>
                  <w:txbxContent>
                    <w:p w:rsidR="00B57376" w:rsidRPr="00B57376" w:rsidRDefault="00B57376" w:rsidP="00B57376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7376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 side</w:t>
                      </w:r>
                    </w:p>
                  </w:txbxContent>
                </v:textbox>
              </v:shape>
            </w:pict>
          </mc:Fallback>
        </mc:AlternateContent>
      </w:r>
      <w:r w:rsidR="000F226E" w:rsidRPr="001336CB">
        <w:rPr>
          <w:rFonts w:ascii="Century Gothic" w:hAnsi="Century Gothic"/>
          <w:b/>
          <w:sz w:val="28"/>
          <w:szCs w:val="28"/>
        </w:rPr>
        <w:t>Mission ImPOSSIBLE: Spanish Ve</w:t>
      </w:r>
      <w:r>
        <w:rPr>
          <w:rFonts w:ascii="Century Gothic" w:hAnsi="Century Gothic"/>
          <w:b/>
          <w:sz w:val="28"/>
          <w:szCs w:val="28"/>
        </w:rPr>
        <w:t>rb Conjugation with Gringo Espa</w:t>
      </w:r>
      <w:r w:rsidRPr="00B57376">
        <w:rPr>
          <w:rFonts w:ascii="Century Gothic" w:hAnsi="Century Gothic"/>
          <w:b/>
          <w:sz w:val="28"/>
          <w:szCs w:val="28"/>
        </w:rPr>
        <w:t>ñ</w:t>
      </w:r>
      <w:r w:rsidR="000F226E" w:rsidRPr="001336CB">
        <w:rPr>
          <w:rFonts w:ascii="Century Gothic" w:hAnsi="Century Gothic"/>
          <w:b/>
          <w:sz w:val="28"/>
          <w:szCs w:val="28"/>
        </w:rPr>
        <w:t>ol</w:t>
      </w:r>
    </w:p>
    <w:p w:rsidR="000F226E" w:rsidRPr="000F226E" w:rsidRDefault="000F226E" w:rsidP="000F226E">
      <w:pPr>
        <w:rPr>
          <w:rFonts w:ascii="Century Gothic" w:hAnsi="Century Gothic"/>
          <w:sz w:val="24"/>
          <w:szCs w:val="24"/>
        </w:rPr>
      </w:pPr>
      <w:r w:rsidRPr="00B57376">
        <w:rPr>
          <w:rFonts w:ascii="Century Gothic" w:hAnsi="Century Gothic"/>
          <w:b/>
          <w:sz w:val="24"/>
          <w:szCs w:val="24"/>
        </w:rPr>
        <w:t>Before you watch</w:t>
      </w:r>
      <w:r w:rsidRPr="000F226E">
        <w:rPr>
          <w:rFonts w:ascii="Century Gothic" w:hAnsi="Century Gothic"/>
          <w:sz w:val="24"/>
          <w:szCs w:val="24"/>
        </w:rPr>
        <w:t xml:space="preserve">: You should know these questions from the previous video we watched from him, Infinitive and Conjugation. </w:t>
      </w:r>
    </w:p>
    <w:p w:rsidR="000F226E" w:rsidRPr="000F226E" w:rsidRDefault="000F226E" w:rsidP="000F226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226E">
        <w:rPr>
          <w:rFonts w:ascii="Century Gothic" w:hAnsi="Century Gothic"/>
          <w:sz w:val="24"/>
          <w:szCs w:val="24"/>
        </w:rPr>
        <w:t xml:space="preserve">What is an infinitive? </w:t>
      </w:r>
      <w:r w:rsidR="00B57376">
        <w:rPr>
          <w:rFonts w:ascii="Century Gothic" w:hAnsi="Century Gothic"/>
          <w:sz w:val="24"/>
          <w:szCs w:val="24"/>
        </w:rPr>
        <w:t>______________________</w:t>
      </w:r>
    </w:p>
    <w:p w:rsidR="000F226E" w:rsidRPr="000F226E" w:rsidRDefault="000F226E" w:rsidP="000F226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226E">
        <w:rPr>
          <w:rFonts w:ascii="Century Gothic" w:hAnsi="Century Gothic"/>
          <w:sz w:val="24"/>
          <w:szCs w:val="24"/>
        </w:rPr>
        <w:t xml:space="preserve">What is conjugation? </w:t>
      </w:r>
      <w:r w:rsidR="00B57376">
        <w:rPr>
          <w:rFonts w:ascii="Century Gothic" w:hAnsi="Century Gothic"/>
          <w:sz w:val="24"/>
          <w:szCs w:val="24"/>
        </w:rPr>
        <w:t>______________________</w:t>
      </w:r>
    </w:p>
    <w:p w:rsidR="000F226E" w:rsidRDefault="000F226E" w:rsidP="000F226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0F226E">
        <w:rPr>
          <w:rFonts w:ascii="Century Gothic" w:hAnsi="Century Gothic"/>
          <w:sz w:val="24"/>
          <w:szCs w:val="24"/>
        </w:rPr>
        <w:t xml:space="preserve">What are subject pronouns? </w:t>
      </w:r>
      <w:r w:rsidR="00B57376">
        <w:rPr>
          <w:rFonts w:ascii="Century Gothic" w:hAnsi="Century Gothic"/>
          <w:sz w:val="24"/>
          <w:szCs w:val="24"/>
        </w:rPr>
        <w:t>________________________________________</w:t>
      </w:r>
    </w:p>
    <w:p w:rsidR="000F226E" w:rsidRPr="000F226E" w:rsidRDefault="000F226E" w:rsidP="000F226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the three endings that Spanish verbs end with? </w:t>
      </w:r>
      <w:r w:rsidR="00B57376">
        <w:rPr>
          <w:rFonts w:ascii="Century Gothic" w:hAnsi="Century Gothic"/>
          <w:sz w:val="24"/>
          <w:szCs w:val="24"/>
        </w:rPr>
        <w:t>_____, _____, ____</w:t>
      </w:r>
    </w:p>
    <w:p w:rsidR="000F226E" w:rsidRPr="000F226E" w:rsidRDefault="000F226E" w:rsidP="000F226E">
      <w:pPr>
        <w:rPr>
          <w:rStyle w:val="Hyperlink"/>
          <w:rFonts w:ascii="Century Gothic" w:eastAsia="Times New Roman" w:hAnsi="Century Gothic" w:cs="Times New Roman"/>
          <w:bCs/>
          <w:sz w:val="24"/>
          <w:szCs w:val="24"/>
          <w:u w:val="none"/>
          <w:shd w:val="clear" w:color="auto" w:fill="FFFFFF"/>
        </w:rPr>
      </w:pPr>
      <w:r w:rsidRPr="000F226E">
        <w:rPr>
          <w:rFonts w:ascii="Century Gothic" w:hAnsi="Century Gothic"/>
          <w:sz w:val="24"/>
          <w:szCs w:val="24"/>
        </w:rPr>
        <w:t>If you don’t know these, you ne</w:t>
      </w:r>
      <w:r>
        <w:rPr>
          <w:rFonts w:ascii="Century Gothic" w:hAnsi="Century Gothic"/>
          <w:sz w:val="24"/>
          <w:szCs w:val="24"/>
        </w:rPr>
        <w:t xml:space="preserve">ed to go look at your notes from the Infinitive and Conjugation video, and if that doesn’t help much, re-watch </w:t>
      </w:r>
      <w:r w:rsidRPr="000F226E">
        <w:rPr>
          <w:rFonts w:ascii="Century Gothic" w:hAnsi="Century Gothic"/>
          <w:sz w:val="24"/>
          <w:szCs w:val="24"/>
        </w:rPr>
        <w:t xml:space="preserve"> </w:t>
      </w:r>
      <w:hyperlink r:id="rId7" w:history="1">
        <w:r w:rsidRPr="000F226E">
          <w:rPr>
            <w:rStyle w:val="Hyperlink"/>
            <w:rFonts w:ascii="Century Gothic" w:eastAsia="Times New Roman" w:hAnsi="Century Gothic" w:cs="Times New Roman"/>
            <w:bCs/>
            <w:sz w:val="24"/>
            <w:szCs w:val="24"/>
            <w:u w:val="none"/>
            <w:shd w:val="clear" w:color="auto" w:fill="FFFFFF"/>
          </w:rPr>
          <w:t>http://tinyurl.com/infandconj1</w:t>
        </w:r>
      </w:hyperlink>
    </w:p>
    <w:p w:rsidR="000F226E" w:rsidRPr="00B57376" w:rsidRDefault="000F226E" w:rsidP="000F226E">
      <w:pPr>
        <w:rPr>
          <w:rFonts w:ascii="Century Gothic" w:hAnsi="Century Gothic"/>
          <w:sz w:val="24"/>
          <w:szCs w:val="24"/>
        </w:rPr>
      </w:pPr>
      <w:r w:rsidRPr="00B57376">
        <w:rPr>
          <w:rFonts w:ascii="Century Gothic" w:hAnsi="Century Gothic"/>
          <w:b/>
          <w:sz w:val="24"/>
          <w:szCs w:val="24"/>
        </w:rPr>
        <w:t>While you watch</w:t>
      </w:r>
      <w:r>
        <w:rPr>
          <w:rFonts w:ascii="Century Gothic" w:hAnsi="Century Gothic"/>
          <w:sz w:val="24"/>
          <w:szCs w:val="24"/>
        </w:rPr>
        <w:t xml:space="preserve">: </w:t>
      </w:r>
      <w:r w:rsidR="00DD0296">
        <w:rPr>
          <w:rFonts w:ascii="Century Gothic" w:hAnsi="Century Gothic"/>
          <w:sz w:val="24"/>
          <w:szCs w:val="24"/>
        </w:rPr>
        <w:t xml:space="preserve">go to </w:t>
      </w:r>
      <w:hyperlink r:id="rId8" w:history="1">
        <w:r w:rsidR="00DD0296" w:rsidRPr="005E11BA">
          <w:rPr>
            <w:rStyle w:val="Hyperlink"/>
            <w:rFonts w:ascii="Verdana" w:eastAsia="Times New Roman" w:hAnsi="Verdana" w:cs="Times New Roman"/>
            <w:b/>
            <w:bCs/>
            <w:sz w:val="19"/>
            <w:szCs w:val="19"/>
            <w:shd w:val="clear" w:color="auto" w:fill="FFFFFF"/>
          </w:rPr>
          <w:t>http://tinyurl.com/conjugationpossible</w:t>
        </w:r>
      </w:hyperlink>
      <w:r w:rsidR="00DD0296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DD0296" w:rsidRPr="00B57376"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shd w:val="clear" w:color="auto" w:fill="FFFFFF"/>
        </w:rPr>
        <w:t xml:space="preserve">(till 11:29...after that is just advertising for his paid program) </w:t>
      </w:r>
    </w:p>
    <w:p w:rsidR="000F226E" w:rsidRDefault="000F226E" w:rsidP="000F226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are the biggest verb conjugation mistakes? Why is it important to know them now? </w:t>
      </w:r>
    </w:p>
    <w:p w:rsidR="00DD0296" w:rsidRDefault="00DD0296" w:rsidP="00DD0296">
      <w:pPr>
        <w:rPr>
          <w:rFonts w:ascii="Century Gothic" w:hAnsi="Century Gothic"/>
          <w:sz w:val="24"/>
          <w:szCs w:val="24"/>
        </w:rPr>
      </w:pPr>
    </w:p>
    <w:p w:rsidR="00DD0296" w:rsidRPr="00DD0296" w:rsidRDefault="00DD0296" w:rsidP="00DD0296">
      <w:pPr>
        <w:rPr>
          <w:rFonts w:ascii="Century Gothic" w:hAnsi="Century Gothic"/>
          <w:sz w:val="24"/>
          <w:szCs w:val="24"/>
        </w:rPr>
      </w:pPr>
    </w:p>
    <w:p w:rsidR="000F226E" w:rsidRDefault="000F226E" w:rsidP="000F226E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his three step process for learning verb conjugation? </w:t>
      </w:r>
    </w:p>
    <w:p w:rsidR="00DD0296" w:rsidRDefault="00DD0296" w:rsidP="00DD0296">
      <w:pPr>
        <w:rPr>
          <w:rFonts w:ascii="Century Gothic" w:hAnsi="Century Gothic"/>
          <w:sz w:val="24"/>
          <w:szCs w:val="24"/>
        </w:rPr>
      </w:pPr>
    </w:p>
    <w:p w:rsidR="000F226E" w:rsidRPr="001336CB" w:rsidRDefault="000F226E" w:rsidP="001336CB">
      <w:pPr>
        <w:rPr>
          <w:rFonts w:ascii="Century Gothic" w:hAnsi="Century Gothic"/>
          <w:sz w:val="24"/>
          <w:szCs w:val="24"/>
        </w:rPr>
      </w:pPr>
    </w:p>
    <w:p w:rsidR="000F226E" w:rsidRDefault="000F226E" w:rsidP="000F226E">
      <w:pPr>
        <w:rPr>
          <w:rFonts w:ascii="Century Gothic" w:hAnsi="Century Gothic"/>
          <w:sz w:val="24"/>
          <w:szCs w:val="24"/>
        </w:rPr>
      </w:pPr>
    </w:p>
    <w:p w:rsidR="000F226E" w:rsidRDefault="000F226E" w:rsidP="000F226E">
      <w:pPr>
        <w:rPr>
          <w:rFonts w:ascii="Century Gothic" w:hAnsi="Century Gothic"/>
          <w:sz w:val="24"/>
          <w:szCs w:val="24"/>
        </w:rPr>
      </w:pPr>
    </w:p>
    <w:p w:rsidR="001336CB" w:rsidRPr="001336CB" w:rsidRDefault="000F226E" w:rsidP="001336CB">
      <w:pPr>
        <w:ind w:left="360"/>
        <w:rPr>
          <w:rFonts w:ascii="Century Gothic" w:hAnsi="Century Gothic"/>
          <w:sz w:val="24"/>
          <w:szCs w:val="24"/>
        </w:rPr>
      </w:pPr>
      <w:r w:rsidRPr="00B57376">
        <w:rPr>
          <w:rFonts w:ascii="Century Gothic" w:hAnsi="Century Gothic"/>
          <w:b/>
          <w:sz w:val="24"/>
          <w:szCs w:val="24"/>
        </w:rPr>
        <w:t xml:space="preserve">After you watch: </w:t>
      </w:r>
      <w:r w:rsidRPr="00B57376">
        <w:rPr>
          <w:rFonts w:ascii="Century Gothic" w:hAnsi="Century Gothic"/>
          <w:sz w:val="24"/>
          <w:szCs w:val="24"/>
        </w:rPr>
        <w:br/>
      </w:r>
      <w:r w:rsidRPr="001336CB">
        <w:rPr>
          <w:rFonts w:ascii="Century Gothic" w:hAnsi="Century Gothic"/>
          <w:sz w:val="24"/>
          <w:szCs w:val="24"/>
        </w:rPr>
        <w:t>1</w:t>
      </w:r>
      <w:r w:rsidR="001336CB" w:rsidRPr="001336CB">
        <w:rPr>
          <w:rFonts w:ascii="Century Gothic" w:hAnsi="Century Gothic"/>
          <w:sz w:val="24"/>
          <w:szCs w:val="24"/>
        </w:rPr>
        <w:t xml:space="preserve">. </w:t>
      </w:r>
      <w:r w:rsidRPr="001336CB">
        <w:rPr>
          <w:rFonts w:ascii="Century Gothic" w:hAnsi="Century Gothic"/>
          <w:sz w:val="24"/>
          <w:szCs w:val="24"/>
        </w:rPr>
        <w:t xml:space="preserve">Why is it important to spend time practicing these conjugations? </w:t>
      </w:r>
    </w:p>
    <w:p w:rsidR="001336CB" w:rsidRDefault="001336CB" w:rsidP="001336CB">
      <w:pPr>
        <w:rPr>
          <w:rFonts w:ascii="Century Gothic" w:hAnsi="Century Gothic"/>
          <w:sz w:val="24"/>
          <w:szCs w:val="24"/>
        </w:rPr>
      </w:pPr>
    </w:p>
    <w:p w:rsidR="001336CB" w:rsidRDefault="001336CB" w:rsidP="001336CB">
      <w:pPr>
        <w:rPr>
          <w:rFonts w:ascii="Century Gothic" w:hAnsi="Century Gothic"/>
          <w:sz w:val="24"/>
          <w:szCs w:val="24"/>
        </w:rPr>
      </w:pPr>
    </w:p>
    <w:p w:rsidR="00E40DF8" w:rsidRDefault="000F226E" w:rsidP="001336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1336CB">
        <w:rPr>
          <w:rFonts w:ascii="Century Gothic" w:hAnsi="Century Gothic"/>
          <w:sz w:val="24"/>
          <w:szCs w:val="24"/>
        </w:rPr>
        <w:t>What is t</w:t>
      </w:r>
      <w:r w:rsidR="00E40DF8" w:rsidRPr="001336CB">
        <w:rPr>
          <w:rFonts w:ascii="Century Gothic" w:hAnsi="Century Gothic"/>
          <w:sz w:val="24"/>
          <w:szCs w:val="24"/>
        </w:rPr>
        <w:t xml:space="preserve">he best way for you to memorize something? There are many different ways, but what is the best way for YOU? How can you apply this to verb conjugations? </w:t>
      </w:r>
    </w:p>
    <w:p w:rsidR="001336CB" w:rsidRPr="001336CB" w:rsidRDefault="001336CB" w:rsidP="001336CB">
      <w:pPr>
        <w:rPr>
          <w:rFonts w:ascii="Century Gothic" w:hAnsi="Century Gothic"/>
          <w:sz w:val="24"/>
          <w:szCs w:val="24"/>
        </w:rPr>
      </w:pPr>
    </w:p>
    <w:p w:rsidR="001336CB" w:rsidRDefault="001336CB" w:rsidP="001336CB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is your small, attainable goal for by the end of this week? </w:t>
      </w:r>
    </w:p>
    <w:p w:rsidR="00E45A5A" w:rsidRPr="00E45A5A" w:rsidRDefault="00E45A5A" w:rsidP="00E45A5A">
      <w:pPr>
        <w:pStyle w:val="ListParagraph"/>
        <w:rPr>
          <w:rFonts w:ascii="Century Gothic" w:hAnsi="Century Gothic"/>
          <w:sz w:val="24"/>
          <w:szCs w:val="24"/>
        </w:rPr>
      </w:pPr>
    </w:p>
    <w:p w:rsidR="00E45A5A" w:rsidRDefault="00E45A5A" w:rsidP="00E45A5A">
      <w:pPr>
        <w:rPr>
          <w:rFonts w:ascii="Century Gothic" w:hAnsi="Century Gothic"/>
          <w:sz w:val="24"/>
          <w:szCs w:val="24"/>
        </w:rPr>
      </w:pPr>
    </w:p>
    <w:p w:rsidR="00E45A5A" w:rsidRPr="00E45A5A" w:rsidRDefault="00E45A5A" w:rsidP="00E45A5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the left side of your ISN, make the mistakes and the three step process into something visual, big, and pretty. Show me that you know what these mean!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</w:p>
    <w:p w:rsidR="00DD0296" w:rsidRDefault="00DD0296" w:rsidP="001336CB">
      <w:pPr>
        <w:rPr>
          <w:rFonts w:ascii="Century Gothic" w:hAnsi="Century Gothic"/>
          <w:sz w:val="24"/>
          <w:szCs w:val="24"/>
        </w:rPr>
      </w:pPr>
    </w:p>
    <w:p w:rsidR="00DD0296" w:rsidRDefault="00DD02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DD0296" w:rsidRPr="00DD0296" w:rsidRDefault="00B57376" w:rsidP="000F226E">
      <w:pPr>
        <w:rPr>
          <w:rFonts w:ascii="Century Gothic" w:hAnsi="Century Gothic"/>
          <w:sz w:val="58"/>
          <w:szCs w:val="5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82F04" wp14:editId="14506E05">
                <wp:simplePos x="0" y="0"/>
                <wp:positionH relativeFrom="column">
                  <wp:posOffset>5676900</wp:posOffset>
                </wp:positionH>
                <wp:positionV relativeFrom="paragraph">
                  <wp:posOffset>-342900</wp:posOffset>
                </wp:positionV>
                <wp:extent cx="14097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7376" w:rsidRPr="00B57376" w:rsidRDefault="00B57376" w:rsidP="00B5737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Left</w:t>
                            </w:r>
                            <w:r w:rsidRPr="00B57376"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82F04" id="Text Box 2" o:spid="_x0000_s1027" type="#_x0000_t202" style="position:absolute;margin-left:447pt;margin-top:-27pt;width:11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" filled="f" stroked="f">
                <v:fill o:detectmouseclick="t"/>
                <v:textbox>
                  <w:txbxContent>
                    <w:p w:rsidR="00B57376" w:rsidRPr="00B57376" w:rsidRDefault="00B57376" w:rsidP="00B57376">
                      <w:pP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Left</w:t>
                      </w:r>
                      <w:r w:rsidRPr="00B57376">
                        <w:rPr>
                          <w:rFonts w:ascii="Century Gothic" w:hAnsi="Century Gothic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side</w:t>
                      </w:r>
                    </w:p>
                  </w:txbxContent>
                </v:textbox>
              </v:shape>
            </w:pict>
          </mc:Fallback>
        </mc:AlternateContent>
      </w:r>
      <w:r w:rsidR="00DD0296" w:rsidRPr="00DD0296">
        <w:rPr>
          <w:rFonts w:ascii="Century Gothic" w:hAnsi="Century Gothic"/>
          <w:sz w:val="58"/>
          <w:szCs w:val="58"/>
        </w:rPr>
        <w:t>Common AR, ER, and IR Verbs:  A Small Guide and Dictionary</w:t>
      </w:r>
    </w:p>
    <w:p w:rsidR="00DD0296" w:rsidRDefault="00DD0296" w:rsidP="00DD0296">
      <w:pPr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sectPr w:rsidR="00DD0296" w:rsidSect="000F22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0296" w:rsidRPr="00DD0296" w:rsidRDefault="00DD0296" w:rsidP="00DD0296">
      <w:pPr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</w:pPr>
      <w:r w:rsidRPr="00DD0296"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t>COMMON REGULAR -AR VERBS</w:t>
      </w:r>
    </w:p>
    <w:p w:rsidR="00DD0296" w:rsidRPr="00DD0296" w:rsidRDefault="00DD0296" w:rsidP="00DD0296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t>alquilar – to rent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entrar (en) – to enter (into)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necesitar – to need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amar – to love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enviar – to send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olvidar – to forget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andar – to walk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escuchar – to listen to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pagar – to pay for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ayudar – to help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esperar – to hope, to wait for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practicar – to practice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bailar – to dance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estudiar – to study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preguntar – to ask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buscar – to look for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firmar – to sign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preparar – to prepare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caminar – to walk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ganar – to win, earn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regresar – to return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cantar – to sing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gastar – to spend money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saludar – to greet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cocinar – to cook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hablar – to speak, to talk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tocar – to touch, to play an instrument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comprar – to buy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lavar – to wash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tomar – to take, to drink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contestar – to answer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llegar – to arrive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trabajar – to work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dejar – to allow, to leave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llevar – to wear, to carry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viajar – to travel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desear – to desire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mandar – to order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visitar – to visit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enseñar – to teach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mirar – to watch, to look at</w:t>
      </w:r>
    </w:p>
    <w:p w:rsidR="00DD0296" w:rsidRPr="00DD0296" w:rsidRDefault="00DD0296" w:rsidP="00DD0296">
      <w:pPr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</w:pPr>
      <w:r w:rsidRPr="00DD0296"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t>COMMON REGULAR -ER VERBS</w:t>
      </w:r>
    </w:p>
    <w:p w:rsidR="00DD0296" w:rsidRPr="00DD0296" w:rsidRDefault="00DD0296" w:rsidP="00DD0296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t>aprender – to learn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creer – to believe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poseer – to possess, to own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beber – to drink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deber – to have to, to owe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prometer – to promise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comer – to eat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esconder – to hide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romper – to break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comprender – to understand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leer – to read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temer – to fear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correr – to run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meter en – to put into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vender – to sell</w:t>
      </w:r>
    </w:p>
    <w:p w:rsidR="00DD0296" w:rsidRPr="00DD0296" w:rsidRDefault="00DD0296" w:rsidP="00DD0296">
      <w:pPr>
        <w:spacing w:before="330" w:after="165" w:line="240" w:lineRule="auto"/>
        <w:outlineLvl w:val="1"/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</w:pPr>
      <w:r w:rsidRPr="00DD0296">
        <w:rPr>
          <w:rFonts w:ascii="Arial" w:eastAsia="Times New Roman" w:hAnsi="Arial" w:cs="Arial"/>
          <w:b/>
          <w:bCs/>
          <w:caps/>
          <w:color w:val="CA4236"/>
          <w:spacing w:val="8"/>
          <w:sz w:val="36"/>
          <w:szCs w:val="36"/>
        </w:rPr>
        <w:t>COMMON REGULAR -IR VERBS</w:t>
      </w:r>
    </w:p>
    <w:p w:rsidR="00DD0296" w:rsidRPr="00DD0296" w:rsidRDefault="00DD0296" w:rsidP="00DD0296">
      <w:pPr>
        <w:spacing w:after="100" w:line="240" w:lineRule="auto"/>
        <w:rPr>
          <w:rFonts w:ascii="Arial" w:eastAsia="Times New Roman" w:hAnsi="Arial" w:cs="Arial"/>
          <w:i/>
          <w:iCs/>
          <w:color w:val="111111"/>
          <w:sz w:val="24"/>
          <w:szCs w:val="24"/>
        </w:rPr>
      </w:pP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t>abrir – to open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descubrir – to discover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permitir – to permit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admitir – to admit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discutir – to discuss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recibir – to receive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asistir a – to attend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escribir – to write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subir – to climb, to go up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cubrir – to cover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existir – to exist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sufrir – to suffer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decidir – to decide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omitir – to omit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unir – to unite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describir – to describe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partir – to divide</w:t>
      </w:r>
      <w:r w:rsidRPr="00DD0296">
        <w:rPr>
          <w:rFonts w:ascii="Arial" w:eastAsia="Times New Roman" w:hAnsi="Arial" w:cs="Arial"/>
          <w:i/>
          <w:iCs/>
          <w:color w:val="111111"/>
          <w:sz w:val="24"/>
          <w:szCs w:val="24"/>
        </w:rPr>
        <w:br/>
        <w:t>vivir – to live</w:t>
      </w:r>
    </w:p>
    <w:p w:rsidR="00DD0296" w:rsidRPr="000F226E" w:rsidRDefault="00DD0296" w:rsidP="000F226E">
      <w:pPr>
        <w:rPr>
          <w:rFonts w:ascii="Century Gothic" w:hAnsi="Century Gothic"/>
          <w:sz w:val="24"/>
          <w:szCs w:val="24"/>
        </w:rPr>
      </w:pPr>
    </w:p>
    <w:sectPr w:rsidR="00DD0296" w:rsidRPr="000F226E" w:rsidSect="00DD029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B4" w:rsidRDefault="009D68B4" w:rsidP="00B57376">
      <w:pPr>
        <w:spacing w:after="0" w:line="240" w:lineRule="auto"/>
      </w:pPr>
      <w:r>
        <w:separator/>
      </w:r>
    </w:p>
  </w:endnote>
  <w:endnote w:type="continuationSeparator" w:id="0">
    <w:p w:rsidR="009D68B4" w:rsidRDefault="009D68B4" w:rsidP="00B5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B4" w:rsidRDefault="009D68B4" w:rsidP="00B57376">
      <w:pPr>
        <w:spacing w:after="0" w:line="240" w:lineRule="auto"/>
      </w:pPr>
      <w:r>
        <w:separator/>
      </w:r>
    </w:p>
  </w:footnote>
  <w:footnote w:type="continuationSeparator" w:id="0">
    <w:p w:rsidR="009D68B4" w:rsidRDefault="009D68B4" w:rsidP="00B5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188"/>
    <w:multiLevelType w:val="hybridMultilevel"/>
    <w:tmpl w:val="D8643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67A"/>
    <w:multiLevelType w:val="hybridMultilevel"/>
    <w:tmpl w:val="BB9E443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598"/>
    <w:multiLevelType w:val="hybridMultilevel"/>
    <w:tmpl w:val="FFA8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362F"/>
    <w:multiLevelType w:val="hybridMultilevel"/>
    <w:tmpl w:val="F5D4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F737F"/>
    <w:multiLevelType w:val="hybridMultilevel"/>
    <w:tmpl w:val="93C44F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651E"/>
    <w:multiLevelType w:val="hybridMultilevel"/>
    <w:tmpl w:val="0D7CBAFE"/>
    <w:lvl w:ilvl="0" w:tplc="BE94E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E"/>
    <w:rsid w:val="000B4108"/>
    <w:rsid w:val="000F226E"/>
    <w:rsid w:val="001336CB"/>
    <w:rsid w:val="00556979"/>
    <w:rsid w:val="00973132"/>
    <w:rsid w:val="009D68B4"/>
    <w:rsid w:val="00B57376"/>
    <w:rsid w:val="00C57826"/>
    <w:rsid w:val="00CB6ABA"/>
    <w:rsid w:val="00DD0296"/>
    <w:rsid w:val="00E40DF8"/>
    <w:rsid w:val="00E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69C9CB-62BA-403D-B8E5-F38A9682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0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26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02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76"/>
  </w:style>
  <w:style w:type="paragraph" w:styleId="Footer">
    <w:name w:val="footer"/>
    <w:basedOn w:val="Normal"/>
    <w:link w:val="FooterChar"/>
    <w:uiPriority w:val="99"/>
    <w:unhideWhenUsed/>
    <w:rsid w:val="00B57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conjugationpossib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infandconj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kbartlett2</cp:lastModifiedBy>
  <cp:revision>2</cp:revision>
  <dcterms:created xsi:type="dcterms:W3CDTF">2018-04-16T12:55:00Z</dcterms:created>
  <dcterms:modified xsi:type="dcterms:W3CDTF">2018-04-16T12:55:00Z</dcterms:modified>
</cp:coreProperties>
</file>